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教科書p.48～49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３　生殖機能の成熟‐１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CA9E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C20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①体の変化とホルモン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□思春期になると、（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下垂体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）から（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性腺刺激ホルモン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）が分泌されるようになり、その刺激によって、生殖器の機能が発達します。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□女子では（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卵巣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）が発達し、その中で卵子が成熟するようになり、（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女性ホルモン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）の分泌が活発になります。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男子では（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精巣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）が発達し、その中で精子がつくられるようになり、（　</w:t>
      </w:r>
      <w:r>
        <w:rPr>
          <w:rFonts w:ascii="UD デジタル 教科書体 NP-R" w:eastAsia="UD デジタル 教科書体 NP-R" w:hAnsi="游明朝" w:hint="eastAsia"/>
          <w:color w:val="FF0000"/>
          <w:spacing w:val="-6"/>
          <w:sz w:val="20"/>
          <w:szCs w:val="18"/>
        </w:rPr>
        <w:t>男性ホルモン</w:t>
      </w:r>
      <w:r>
        <w:rPr>
          <w:rFonts w:ascii="UD デジタル 教科書体 NP-R" w:eastAsia="UD デジタル 教科書体 NP-R" w:hAnsi="游明朝" w:hint="eastAsia"/>
          <w:spacing w:val="-6"/>
          <w:sz w:val="20"/>
          <w:szCs w:val="18"/>
        </w:rPr>
        <w:t xml:space="preserve">　）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>の分泌が活発になります。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②排卵と月経の仕組み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□卵巣の卵胞内で成熟した（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卵子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）は、周期的に卵巣の外へ出されるようになります。これを（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排卵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）といいます。卵子は卵管に入り、（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子宮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）のほうへと運ばれます。卵管の途中で精子と合体すれば、（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受精卵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>）となります。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□排卵に合わせて厚くなった子宮内膜は、排卵が終わりしばらくたつと、剝がれて体外に出されます。これが（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月経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）で、約４週間に１度ずつ繰り返されるようになります。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2025-03-18T06:37:00Z</dcterms:modified>
</cp:coreProperties>
</file>