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教科書p.52～53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４　性とどう向き合うか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5FFF7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740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①性意識の変化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思春期になると、身体機能の成熟に伴って、（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>性意識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）にも変化が現れます。（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>性的欲求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が強くなり、性衝動が生じて戸惑うことがあります。また、（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異性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）への関心や、特定の人と親しく交際したいといった、友情とは違う感情も芽生えてきます。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□性意識には、（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個人差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□一人一人の体と心が違うこと、多様な考え方、感じ方があることを理解することで、お互いを（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尊重した関係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）を築いていくことができます。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②性情報への対処と行動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性情報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）の中には、正しくない情報が含まれていることが少なくありません。巧妙な手口で中学生を（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誘導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）しようとする情報が、ＳＮＳ（ソーシャルネットワーキングサービス）などを通して知らない人から届くこともあります。こうした性情報に惑わされて誤った行動をし、（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犯罪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）に巻き込まれたり、心身ともにきずついてしまったりすることもあります。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i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□性情報に適切に対処するには、正しい情報を（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選択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）し、適切な（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行動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）をとることが大切です。また、保護者などの（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信頼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）できる大人からの助言を参考にすることも有効です。</w:t>
      </w:r>
    </w:p>
    <w:p>
      <w:pPr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2025-03-18T06:36:00Z</dcterms:modified>
</cp:coreProperties>
</file>