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教科書p.28～29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１　健康の成り立ち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4D6FF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1A74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①主体の要因と環境の要因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□日本ではかつて、結核や肺炎などの（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）が死因の上位にありました。しかし、栄養状態や（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）の改善、保健・医療水準の向上などによって急激に減少しました。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□現在では、食生活の変化や（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）などによって、がん・心臓病・脳卒中といった（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）などが死因の上位を占めるようになっています。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□病気や健康にはその人個人の（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）と、個人を取り巻く状態である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）とが関係していることがわかります。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□主体の要因には、体質、性、年齢、抵抗力などの（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　）と、運動、食事、休養・睡眠などの生活習慣や行動があります。環境の要因には、物理・化学的環境の要因、生物学的環境の要因、（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）環境の要因があります。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②健康の成り立ち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□健康は、主体と（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　）を良好に保つことによって成り立ちます。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□健康を保持増進するためには、自らの行動や身の回りの（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　）を健康的なものにすることが重要です。また、行政などがさまざまな情報を提供したり、環境を整えたりするなどの（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）な取り組みが必要です。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2025-03-18T06:38:00Z</dcterms:modified>
</cp:coreProperties>
</file>