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教科書p.34～35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４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生活習慣と健康（３）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休養・睡眠と健康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5C4DC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8493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①心身の疲労と健康障害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□長時間の学習、運動、作業などは、（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）をもたらします。これは、眠気やだるさ、頭痛など、（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）の状態の変化として現れます。この現れ方は、活動の内容や（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）、環境条件や個人によって違いがあります。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□疲労やストレスが蓄積すると、（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）が低下し、感染症にかかりやすくなります。また、胃潰瘍や高血圧、（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）、脳卒中などの健康障害につながることがあります。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②休養・睡眠のとり方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）は、心身の疲労を（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）したり、緊張状態を解消したりするとともに、英気を養うために必要です。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□休養のとり方としては、睡眠、休息、（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）、栄養補給、軽い運動などがあります。特に睡眠は、１日の（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）を取り除き、活力を蓄えるために欠かせません。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□十分な睡眠をとるためには、心身の状態や環境を整え、（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）に合わせて決まった時間帯に眠ることが重要です。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2025-03-18T06:38:00Z</dcterms:modified>
</cp:coreProperties>
</file>